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7"/>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865"/>
        <w:gridCol w:w="792"/>
        <w:gridCol w:w="2447"/>
        <w:gridCol w:w="2684"/>
        <w:gridCol w:w="805"/>
        <w:gridCol w:w="1246"/>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75"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305"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864"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948"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284"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39"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w:t>
            </w:r>
          </w:p>
        </w:tc>
        <w:tc>
          <w:tcPr>
            <w:tcW w:w="1502"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75" w:type="pct"/>
            <w:vMerge w:val="restar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YZ-J-202211196</w:t>
            </w:r>
          </w:p>
        </w:tc>
        <w:tc>
          <w:tcPr>
            <w:tcW w:w="305" w:type="pct"/>
            <w:vMerge w:val="restart"/>
            <w:noWrap w:val="0"/>
            <w:vAlign w:val="center"/>
          </w:tcPr>
          <w:p>
            <w:pPr>
              <w:autoSpaceDN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技术服务</w:t>
            </w: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z w:val="21"/>
                <w:szCs w:val="21"/>
                <w:lang w:val="en-US" w:eastAsia="zh-CN"/>
              </w:rPr>
              <w:t>系统技术服务</w:t>
            </w:r>
          </w:p>
        </w:tc>
        <w:tc>
          <w:tcPr>
            <w:tcW w:w="948" w:type="pct"/>
            <w:noWrap w:val="0"/>
            <w:vAlign w:val="center"/>
          </w:tcPr>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1.终端升级改造；</w:t>
            </w:r>
          </w:p>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2.服务器系统升级；</w:t>
            </w:r>
          </w:p>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3.系统软件安装、数据配置管理及设备正常运行。</w:t>
            </w:r>
          </w:p>
        </w:tc>
        <w:tc>
          <w:tcPr>
            <w:tcW w:w="284"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总价报价</w:t>
            </w:r>
          </w:p>
        </w:tc>
        <w:tc>
          <w:tcPr>
            <w:tcW w:w="439"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1"/>
                <w:szCs w:val="21"/>
                <w:lang w:val="en-US" w:eastAsia="zh-CN"/>
              </w:rPr>
              <w:t>13.3万元</w:t>
            </w:r>
          </w:p>
        </w:tc>
        <w:tc>
          <w:tcPr>
            <w:tcW w:w="1502" w:type="pct"/>
            <w:noWrap w:val="0"/>
            <w:vAlign w:val="center"/>
          </w:tcPr>
          <w:p>
            <w:pPr>
              <w:autoSpaceDN w:val="0"/>
              <w:jc w:val="both"/>
              <w:textAlignment w:val="center"/>
              <w:rPr>
                <w:rFonts w:hint="default" w:ascii="宋体" w:hAnsi="宋体" w:cs="宋体"/>
                <w:color w:val="auto"/>
                <w:sz w:val="22"/>
                <w:szCs w:val="22"/>
                <w:lang w:val="en-US" w:eastAsia="zh-CN"/>
              </w:rPr>
            </w:pPr>
            <w:r>
              <w:rPr>
                <w:rFonts w:hint="eastAsia" w:ascii="宋体" w:hAnsi="宋体" w:eastAsia="宋体" w:cs="宋体"/>
                <w:color w:val="auto"/>
                <w:kern w:val="0"/>
                <w:sz w:val="21"/>
                <w:szCs w:val="21"/>
                <w:lang w:val="en-US" w:eastAsia="zh-CN" w:bidi="ar-SA"/>
              </w:rPr>
              <w:t>供应商须提供至少1份3年内相关项目业绩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固定资产大修项目工程监理</w:t>
            </w:r>
          </w:p>
        </w:tc>
        <w:tc>
          <w:tcPr>
            <w:tcW w:w="948" w:type="pct"/>
            <w:noWrap w:val="0"/>
            <w:vAlign w:val="center"/>
          </w:tcPr>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按照法律法规的规定及合同约定，完成济源市丰源电力有限公司固定资产大修项目的监理服务工作</w:t>
            </w:r>
          </w:p>
        </w:tc>
        <w:tc>
          <w:tcPr>
            <w:tcW w:w="284" w:type="pct"/>
            <w:noWrap w:val="0"/>
            <w:vAlign w:val="center"/>
          </w:tcPr>
          <w:p>
            <w:pPr>
              <w:autoSpaceDN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折扣比例</w:t>
            </w: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经审定的结算金额的1.2%</w:t>
            </w:r>
          </w:p>
        </w:tc>
        <w:tc>
          <w:tcPr>
            <w:tcW w:w="1502" w:type="pct"/>
            <w:noWrap w:val="0"/>
            <w:vAlign w:val="center"/>
          </w:tcPr>
          <w:p>
            <w:pPr>
              <w:autoSpaceDN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1.供应商须具备房屋建筑工程监理乙级及以上资质，并在人员、设备方面具有相应的监理能力。</w:t>
            </w:r>
          </w:p>
          <w:p>
            <w:pPr>
              <w:autoSpaceDN w:val="0"/>
              <w:jc w:val="both"/>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2.总监理工程师具有房屋建筑工程专业注册监理工程师执业证书且为本单位正式员工，须提供劳动合同及2022年09月01日以来任意一个月公司为其交纳的社保证明。</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3B977DC2"/>
    <w:rsid w:val="3B977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 Char Char"/>
    <w:qFormat/>
    <w:uiPriority w:val="0"/>
    <w:pPr>
      <w:spacing w:after="200" w:line="276" w:lineRule="auto"/>
      <w:jc w:val="both"/>
    </w:pPr>
    <w:rPr>
      <w:rFonts w:ascii="Times New Roman" w:hAnsi="Times New Roman" w:eastAsia="宋体" w:cs="Times New Roman"/>
      <w:b/>
      <w:sz w:val="21"/>
      <w:szCs w:val="22"/>
      <w:lang w:val="en-US" w:eastAsia="zh-CN" w:bidi="ar-SA"/>
    </w:r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Body Text First Indent"/>
    <w:next w:val="5"/>
    <w:qFormat/>
    <w:uiPriority w:val="0"/>
    <w:pPr>
      <w:widowControl w:val="0"/>
      <w:tabs>
        <w:tab w:val="left" w:pos="606"/>
      </w:tabs>
      <w:spacing w:after="120" w:afterLines="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First Indent 2"/>
    <w:next w:val="6"/>
    <w:unhideWhenUsed/>
    <w:qFormat/>
    <w:uiPriority w:val="99"/>
    <w:pPr>
      <w:widowControl w:val="0"/>
      <w:spacing w:after="120" w:afterLines="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6">
    <w:name w:val="样式 正文首行缩进 2 + Arial"/>
    <w:next w:val="1"/>
    <w:qFormat/>
    <w:uiPriority w:val="0"/>
    <w:pPr>
      <w:widowControl w:val="0"/>
      <w:spacing w:after="120" w:line="320" w:lineRule="atLeast"/>
      <w:ind w:firstLine="200" w:firstLineChars="200"/>
      <w:jc w:val="both"/>
    </w:pPr>
    <w:rPr>
      <w:rFonts w:ascii="Arial" w:hAnsi="Arial" w:eastAsia="宋体" w:cs="Times New Roman"/>
      <w:kern w:val="0"/>
      <w:sz w:val="21"/>
      <w:szCs w:val="24"/>
      <w:lang w:val="en-US" w:eastAsia="zh-CN" w:bidi="ar-SA"/>
    </w:rPr>
  </w:style>
  <w:style w:type="paragraph" w:customStyle="1" w:styleId="9">
    <w:name w:val="正文文本首行缩进 2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2022-11-03T09:52:00Z</dcterms:created>
  <dc:creator>Administrator</dc:creator>
  <cp:lastModifiedBy>Administrator</cp:lastModifiedBy>
  <dcterms:modified xsi:type="dcterms:W3CDTF">2022-11-03T09:52:53Z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B16118CDB1334F36BB9F53B90EB56497</vt:lpwstr>
  </property>
</Properties>
</file>