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9"/>
        <w:tblpPr w:leftFromText="180" w:rightFromText="180" w:vertAnchor="text" w:horzAnchor="page" w:tblpX="1575" w:tblpY="532"/>
        <w:tblOverlap w:val="never"/>
        <w:tblW w:w="47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126"/>
        <w:gridCol w:w="732"/>
        <w:gridCol w:w="1747"/>
        <w:gridCol w:w="2543"/>
        <w:gridCol w:w="1098"/>
        <w:gridCol w:w="1264"/>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60"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420"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3"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652"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950"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410"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71"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w:t>
            </w:r>
          </w:p>
        </w:tc>
        <w:tc>
          <w:tcPr>
            <w:tcW w:w="135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0" w:type="pct"/>
            <w:vMerge w:val="restar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YZ-J-202304050</w:t>
            </w:r>
          </w:p>
        </w:tc>
        <w:tc>
          <w:tcPr>
            <w:tcW w:w="420" w:type="pct"/>
            <w:vMerge w:val="restart"/>
            <w:noWrap w:val="0"/>
            <w:vAlign w:val="center"/>
          </w:tcPr>
          <w:p>
            <w:pPr>
              <w:autoSpaceDN w:val="0"/>
              <w:jc w:val="center"/>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技术服务</w:t>
            </w:r>
          </w:p>
        </w:tc>
        <w:tc>
          <w:tcPr>
            <w:tcW w:w="273"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652"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重要用户保电服务项目</w:t>
            </w:r>
          </w:p>
        </w:tc>
        <w:tc>
          <w:tcPr>
            <w:tcW w:w="950" w:type="pc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应急发电机及相关技术人员的保电活动事项，提供相关保电设备、专业人员技术服务，对保电涉及的输、变、配电线路及附属设施进行巡视、看护，保证重要活动期间的电力持续可靠供应。</w:t>
            </w:r>
          </w:p>
        </w:tc>
        <w:tc>
          <w:tcPr>
            <w:tcW w:w="410" w:type="pct"/>
            <w:noWrap w:val="0"/>
            <w:vAlign w:val="center"/>
          </w:tcPr>
          <w:p>
            <w:pPr>
              <w:autoSpaceDN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折扣比例报价</w:t>
            </w:r>
          </w:p>
        </w:tc>
        <w:tc>
          <w:tcPr>
            <w:tcW w:w="471" w:type="pct"/>
            <w:noWrap w:val="0"/>
            <w:vAlign w:val="center"/>
          </w:tcPr>
          <w:p>
            <w:pPr>
              <w:autoSpaceDN w:val="0"/>
              <w:jc w:val="center"/>
              <w:textAlignment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以实际发生额为准</w:t>
            </w:r>
          </w:p>
        </w:tc>
        <w:tc>
          <w:tcPr>
            <w:tcW w:w="1359" w:type="pct"/>
            <w:noWrap w:val="0"/>
            <w:vAlign w:val="center"/>
          </w:tcPr>
          <w:p>
            <w:pPr>
              <w:autoSpaceDN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1.具有良好的商业信誉和健全的财务制度；</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2.能够为采购单位开具税率为13%的增值税专用发票；</w:t>
            </w:r>
          </w:p>
          <w:p>
            <w:pPr>
              <w:pStyle w:val="3"/>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3.拟派项目负责人具有供应商为其缴纳的响应文件提交截止时间近三个月任意一个月的社保证明材料。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42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273"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652" w:type="pct"/>
            <w:noWrap w:val="0"/>
            <w:vAlign w:val="center"/>
          </w:tcPr>
          <w:p>
            <w:pPr>
              <w:spacing w:beforeLines="0" w:afterLines="0" w:line="400" w:lineRule="exact"/>
              <w:jc w:val="center"/>
              <w:rPr>
                <w:rFonts w:hint="default" w:ascii="宋体" w:hAnsi="宋体" w:eastAsia="宋体" w:cs="宋体"/>
                <w:color w:val="auto"/>
                <w:kern w:val="2"/>
                <w:sz w:val="24"/>
                <w:szCs w:val="24"/>
                <w:lang w:val="en-US" w:eastAsia="zh-CN" w:bidi="ar-SA"/>
              </w:rPr>
            </w:pPr>
            <w:r>
              <w:rPr>
                <w:rFonts w:hint="default" w:ascii="Times New Roman" w:hAnsi="Times New Roman" w:eastAsia="Times New Roman"/>
                <w:color w:val="auto"/>
                <w:sz w:val="24"/>
                <w:szCs w:val="24"/>
                <w:lang w:val="zh-CN"/>
              </w:rPr>
              <w:t>装备检测试验服务项目</w:t>
            </w:r>
          </w:p>
        </w:tc>
        <w:tc>
          <w:tcPr>
            <w:tcW w:w="950" w:type="pc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详见采购内容</w:t>
            </w:r>
          </w:p>
        </w:tc>
        <w:tc>
          <w:tcPr>
            <w:tcW w:w="410" w:type="pct"/>
            <w:noWrap w:val="0"/>
            <w:vAlign w:val="center"/>
          </w:tcPr>
          <w:p>
            <w:pPr>
              <w:autoSpaceDN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总价报价</w:t>
            </w:r>
          </w:p>
        </w:tc>
        <w:tc>
          <w:tcPr>
            <w:tcW w:w="471" w:type="pct"/>
            <w:noWrap w:val="0"/>
            <w:vAlign w:val="center"/>
          </w:tcPr>
          <w:p>
            <w:pPr>
              <w:autoSpaceDN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4.9</w:t>
            </w:r>
            <w:r>
              <w:rPr>
                <w:rFonts w:hint="eastAsia" w:ascii="宋体" w:hAnsi="宋体" w:eastAsia="宋体" w:cs="宋体"/>
                <w:color w:val="auto"/>
                <w:kern w:val="2"/>
                <w:sz w:val="24"/>
                <w:szCs w:val="24"/>
                <w:lang w:val="en-US" w:eastAsia="zh-CN" w:bidi="ar-SA"/>
              </w:rPr>
              <w:t>万元</w:t>
            </w:r>
          </w:p>
        </w:tc>
        <w:tc>
          <w:tcPr>
            <w:tcW w:w="1359" w:type="pct"/>
            <w:noWrap w:val="0"/>
            <w:vAlign w:val="center"/>
          </w:tcPr>
          <w:p>
            <w:pPr>
              <w:pStyle w:val="3"/>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420" w:type="pct"/>
            <w:vMerge w:val="continue"/>
            <w:noWrap w:val="0"/>
            <w:vAlign w:val="center"/>
          </w:tcPr>
          <w:p>
            <w:pPr>
              <w:autoSpaceDN w:val="0"/>
              <w:jc w:val="center"/>
              <w:textAlignment w:val="center"/>
              <w:rPr>
                <w:rFonts w:hint="eastAsia" w:ascii="宋体" w:hAnsi="宋体" w:cs="宋体"/>
                <w:color w:val="auto"/>
                <w:sz w:val="24"/>
                <w:szCs w:val="24"/>
                <w:lang w:val="en-US" w:eastAsia="zh-CN"/>
              </w:rPr>
            </w:pPr>
          </w:p>
        </w:tc>
        <w:tc>
          <w:tcPr>
            <w:tcW w:w="273"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652"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吊</w:t>
            </w:r>
            <w:r>
              <w:rPr>
                <w:rFonts w:hint="eastAsia" w:ascii="宋体" w:hAnsi="宋体" w:cs="宋体"/>
                <w:color w:val="auto"/>
                <w:sz w:val="24"/>
                <w:szCs w:val="24"/>
                <w:highlight w:val="none"/>
                <w:lang w:val="en-US" w:eastAsia="zh-CN"/>
              </w:rPr>
              <w:t>车</w:t>
            </w:r>
            <w:r>
              <w:rPr>
                <w:rFonts w:hint="eastAsia" w:ascii="宋体" w:hAnsi="宋体" w:eastAsia="宋体" w:cs="宋体"/>
                <w:color w:val="auto"/>
                <w:sz w:val="24"/>
                <w:szCs w:val="24"/>
                <w:highlight w:val="none"/>
                <w:lang w:val="en-US" w:eastAsia="zh-CN"/>
              </w:rPr>
              <w:t>租赁</w:t>
            </w:r>
          </w:p>
        </w:tc>
        <w:tc>
          <w:tcPr>
            <w:tcW w:w="950" w:type="pc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详见采购内容</w:t>
            </w:r>
          </w:p>
        </w:tc>
        <w:tc>
          <w:tcPr>
            <w:tcW w:w="410" w:type="pct"/>
            <w:noWrap w:val="0"/>
            <w:vAlign w:val="center"/>
          </w:tcPr>
          <w:p>
            <w:pPr>
              <w:autoSpaceDN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折扣比例报价</w:t>
            </w:r>
          </w:p>
        </w:tc>
        <w:tc>
          <w:tcPr>
            <w:tcW w:w="471" w:type="pct"/>
            <w:noWrap w:val="0"/>
            <w:vAlign w:val="center"/>
          </w:tcPr>
          <w:p>
            <w:pPr>
              <w:autoSpaceDN w:val="0"/>
              <w:jc w:val="center"/>
              <w:textAlignment w:val="center"/>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以实际发生额为准</w:t>
            </w:r>
          </w:p>
        </w:tc>
        <w:tc>
          <w:tcPr>
            <w:tcW w:w="1359" w:type="pct"/>
            <w:noWrap w:val="0"/>
            <w:vAlign w:val="center"/>
          </w:tcPr>
          <w:p>
            <w:pPr>
              <w:pStyle w:val="3"/>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6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color w:val="auto"/>
              </w:rPr>
            </w:pPr>
          </w:p>
        </w:tc>
        <w:tc>
          <w:tcPr>
            <w:tcW w:w="420"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color w:val="auto"/>
              </w:rPr>
            </w:pPr>
          </w:p>
        </w:tc>
        <w:tc>
          <w:tcPr>
            <w:tcW w:w="273"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eastAsia" w:eastAsia="宋体"/>
                <w:color w:val="auto"/>
                <w:lang w:val="en-US" w:eastAsia="zh-CN"/>
              </w:rPr>
            </w:pPr>
            <w:r>
              <w:rPr>
                <w:rFonts w:hint="eastAsia"/>
                <w:color w:val="auto"/>
                <w:lang w:val="en-US" w:eastAsia="zh-CN"/>
              </w:rPr>
              <w:t>4</w:t>
            </w:r>
          </w:p>
        </w:tc>
        <w:tc>
          <w:tcPr>
            <w:tcW w:w="652"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eastAsia" w:ascii="宋体" w:hAnsi="宋体" w:eastAsia="宋体" w:cs="宋体"/>
                <w:color w:val="auto"/>
                <w:sz w:val="24"/>
                <w:szCs w:val="24"/>
                <w:lang w:val="en-US" w:eastAsia="zh-CN"/>
              </w:rPr>
            </w:pPr>
            <w:r>
              <w:rPr>
                <w:rFonts w:hint="default" w:ascii="Times New Roman" w:hAnsi="Times New Roman" w:eastAsia="Times New Roman"/>
                <w:color w:val="auto"/>
                <w:sz w:val="24"/>
                <w:szCs w:val="24"/>
                <w:lang w:val="zh-CN"/>
              </w:rPr>
              <w:t>输电线路金具X射线无损检测技术服务</w:t>
            </w:r>
          </w:p>
        </w:tc>
        <w:tc>
          <w:tcPr>
            <w:tcW w:w="950"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eastAsia" w:ascii="宋体" w:hAnsi="宋体" w:eastAsia="宋体" w:cs="宋体"/>
                <w:color w:val="auto"/>
                <w:sz w:val="24"/>
                <w:szCs w:val="24"/>
                <w:lang w:val="en-US" w:eastAsia="zh-CN"/>
              </w:rPr>
            </w:pPr>
            <w:r>
              <w:rPr>
                <w:rFonts w:hint="default" w:ascii="Times New Roman" w:hAnsi="Times New Roman" w:eastAsia="Times New Roman"/>
                <w:color w:val="auto"/>
                <w:sz w:val="24"/>
                <w:szCs w:val="24"/>
                <w:lang w:val="zh-CN"/>
              </w:rPr>
              <w:t>约168 只耐张线夹的射线探伤连接金具（耐张线夹或接续管）</w:t>
            </w:r>
          </w:p>
        </w:tc>
        <w:tc>
          <w:tcPr>
            <w:tcW w:w="410"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eastAsia" w:ascii="宋体" w:hAnsi="宋体" w:eastAsia="宋体" w:cs="宋体"/>
                <w:color w:val="auto"/>
                <w:sz w:val="24"/>
                <w:szCs w:val="24"/>
                <w:lang w:val="en-US" w:eastAsia="zh-CN"/>
              </w:rPr>
            </w:pPr>
            <w:r>
              <w:rPr>
                <w:rFonts w:hint="default" w:ascii="Times New Roman" w:hAnsi="Times New Roman" w:eastAsia="Times New Roman"/>
                <w:color w:val="auto"/>
                <w:sz w:val="24"/>
                <w:szCs w:val="24"/>
                <w:lang w:val="zh-CN"/>
              </w:rPr>
              <w:t>单价报价（检测一个输电线路耐张线夹或接续管的检测服务费（不分电压等级））</w:t>
            </w:r>
          </w:p>
        </w:tc>
        <w:tc>
          <w:tcPr>
            <w:tcW w:w="471"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sz w:val="24"/>
                <w:szCs w:val="24"/>
                <w:lang w:val="en-US" w:eastAsia="zh-CN"/>
              </w:rPr>
            </w:pPr>
            <w:r>
              <w:rPr>
                <w:rFonts w:hint="default" w:ascii="宋体" w:hAnsi="宋体" w:eastAsia="宋体" w:cs="宋体"/>
                <w:color w:val="auto"/>
                <w:kern w:val="2"/>
                <w:sz w:val="24"/>
                <w:szCs w:val="24"/>
                <w:highlight w:val="none"/>
                <w:lang w:val="en-US" w:eastAsia="zh-CN" w:bidi="ar-SA"/>
              </w:rPr>
              <w:t>以实际发生额为准</w:t>
            </w:r>
          </w:p>
        </w:tc>
        <w:tc>
          <w:tcPr>
            <w:tcW w:w="1359" w:type="pct"/>
            <w:noWrap w:val="0"/>
            <w:vAlign w:val="center"/>
          </w:tcPr>
          <w:p>
            <w:pPr>
              <w:spacing w:beforeLines="0" w:afterLines="0" w:line="400" w:lineRule="exact"/>
              <w:rPr>
                <w:rFonts w:hint="default" w:ascii="宋体" w:hAnsi="宋体" w:eastAsia="宋体" w:cs="宋体"/>
                <w:color w:val="auto"/>
                <w:kern w:val="2"/>
                <w:sz w:val="24"/>
                <w:szCs w:val="24"/>
                <w:highlight w:val="none"/>
                <w:lang w:val="zh-CN" w:eastAsia="zh-CN" w:bidi="ar-SA"/>
              </w:rPr>
            </w:pPr>
            <w:r>
              <w:rPr>
                <w:rFonts w:hint="default" w:ascii="宋体" w:hAnsi="宋体" w:eastAsia="宋体" w:cs="宋体"/>
                <w:color w:val="auto"/>
                <w:kern w:val="2"/>
                <w:sz w:val="24"/>
                <w:szCs w:val="24"/>
                <w:highlight w:val="none"/>
                <w:lang w:val="zh-CN" w:eastAsia="zh-CN" w:bidi="ar-SA"/>
              </w:rPr>
              <w:t>1、具有“中华人民共和国特种设备检验检测机构核准证”，提供证书扫描件。</w:t>
            </w:r>
          </w:p>
          <w:p>
            <w:pPr>
              <w:spacing w:beforeLines="0" w:afterLines="0" w:line="400" w:lineRule="exact"/>
              <w:rPr>
                <w:rFonts w:hint="default" w:ascii="宋体" w:hAnsi="宋体" w:eastAsia="宋体" w:cs="宋体"/>
                <w:color w:val="auto"/>
                <w:kern w:val="2"/>
                <w:sz w:val="24"/>
                <w:szCs w:val="24"/>
                <w:highlight w:val="none"/>
                <w:lang w:val="zh-CN" w:eastAsia="zh-CN" w:bidi="ar-SA"/>
              </w:rPr>
            </w:pPr>
            <w:r>
              <w:rPr>
                <w:rFonts w:hint="default" w:ascii="宋体" w:hAnsi="宋体" w:eastAsia="宋体" w:cs="宋体"/>
                <w:color w:val="auto"/>
                <w:kern w:val="2"/>
                <w:sz w:val="24"/>
                <w:szCs w:val="24"/>
                <w:highlight w:val="none"/>
                <w:lang w:val="zh-CN" w:eastAsia="zh-CN" w:bidi="ar-SA"/>
              </w:rPr>
              <w:t>2、具有辐射安全许可证（使用Ⅱ类射线装置），提供证书扫描件。</w:t>
            </w:r>
          </w:p>
          <w:p>
            <w:pPr>
              <w:keepNext w:val="0"/>
              <w:keepLines w:val="0"/>
              <w:pageBreakBefore w:val="0"/>
              <w:widowControl w:val="0"/>
              <w:kinsoku/>
              <w:wordWrap/>
              <w:overflowPunct/>
              <w:topLinePunct w:val="0"/>
              <w:autoSpaceDE/>
              <w:autoSpaceDN w:val="0"/>
              <w:bidi w:val="0"/>
              <w:adjustRightInd/>
              <w:snapToGrid/>
              <w:jc w:val="left"/>
              <w:textAlignment w:val="center"/>
              <w:rPr>
                <w:rFonts w:hint="eastAsia" w:ascii="宋体" w:hAnsi="宋体" w:eastAsia="宋体" w:cs="宋体"/>
                <w:color w:val="auto"/>
                <w:sz w:val="24"/>
                <w:szCs w:val="24"/>
                <w:lang w:val="en-US" w:eastAsia="zh-CN"/>
              </w:rPr>
            </w:pPr>
            <w:r>
              <w:rPr>
                <w:rFonts w:hint="default" w:ascii="宋体" w:hAnsi="宋体" w:eastAsia="宋体" w:cs="宋体"/>
                <w:color w:val="auto"/>
                <w:kern w:val="2"/>
                <w:sz w:val="24"/>
                <w:szCs w:val="24"/>
                <w:highlight w:val="none"/>
                <w:lang w:val="zh-CN" w:eastAsia="zh-CN" w:bidi="ar-SA"/>
              </w:rPr>
              <w:t>3、承诺能够为采购单位开具专用增值税发票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71FE1CD2"/>
    <w:rsid w:val="71FE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606"/>
      </w:tabs>
    </w:pPr>
    <w:rPr>
      <w:rFonts w:ascii="方正仿宋简体" w:eastAsia="方正仿宋简体"/>
      <w:sz w:val="32"/>
    </w:rPr>
  </w:style>
  <w:style w:type="paragraph" w:styleId="3">
    <w:name w:val="Body Text 2"/>
    <w:basedOn w:val="1"/>
    <w:qFormat/>
    <w:uiPriority w:val="0"/>
    <w:pPr>
      <w:widowControl/>
      <w:overflowPunct w:val="0"/>
      <w:autoSpaceDE w:val="0"/>
      <w:autoSpaceDN w:val="0"/>
      <w:adjustRightInd w:val="0"/>
      <w:jc w:val="left"/>
      <w:textAlignment w:val="baseline"/>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w:basedOn w:val="2"/>
    <w:next w:val="7"/>
    <w:qFormat/>
    <w:uiPriority w:val="0"/>
    <w:pPr>
      <w:spacing w:after="120" w:afterLines="0"/>
      <w:ind w:firstLine="420" w:firstLineChars="100"/>
    </w:pPr>
    <w:rPr>
      <w:rFonts w:ascii="Times New Roman" w:eastAsia="宋体"/>
      <w:sz w:val="21"/>
    </w:rPr>
  </w:style>
  <w:style w:type="paragraph" w:styleId="7">
    <w:name w:val="Body Text First Indent 2"/>
    <w:basedOn w:val="4"/>
    <w:next w:val="8"/>
    <w:unhideWhenUsed/>
    <w:qFormat/>
    <w:uiPriority w:val="99"/>
    <w:pPr>
      <w:spacing w:after="120" w:line="240" w:lineRule="auto"/>
      <w:ind w:left="420" w:leftChars="200" w:firstLine="420" w:firstLineChars="200"/>
    </w:pPr>
  </w:style>
  <w:style w:type="paragraph" w:customStyle="1" w:styleId="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1">
    <w:name w:val="正文文本首行缩进 21"/>
    <w:basedOn w:val="12"/>
    <w:qFormat/>
    <w:uiPriority w:val="0"/>
    <w:pPr>
      <w:ind w:firstLine="420" w:firstLineChars="200"/>
    </w:pPr>
  </w:style>
  <w:style w:type="paragraph" w:customStyle="1" w:styleId="12">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2023-04-04T09:20:00Z</dcterms:created>
  <dc:creator>Administrator</dc:creator>
  <cp:lastModifiedBy>Administrator</cp:lastModifiedBy>
  <dcterms:modified xsi:type="dcterms:W3CDTF">2023-04-04T09:21:16Z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788031AABB8B4403860DF1827C349448_11</vt:lpwstr>
  </property>
</Properties>
</file>