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leftChars="0" w:firstLine="0" w:firstLineChars="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附件1 </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039"/>
        <w:gridCol w:w="600"/>
        <w:gridCol w:w="2026"/>
        <w:gridCol w:w="3779"/>
        <w:gridCol w:w="1274"/>
        <w:gridCol w:w="772"/>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0" w:type="pc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项目编号</w:t>
            </w:r>
          </w:p>
        </w:tc>
        <w:tc>
          <w:tcPr>
            <w:tcW w:w="366" w:type="pc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标名称</w:t>
            </w:r>
          </w:p>
        </w:tc>
        <w:tc>
          <w:tcPr>
            <w:tcW w:w="211" w:type="pc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包号</w:t>
            </w:r>
          </w:p>
        </w:tc>
        <w:tc>
          <w:tcPr>
            <w:tcW w:w="714" w:type="pc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包名称</w:t>
            </w:r>
          </w:p>
        </w:tc>
        <w:tc>
          <w:tcPr>
            <w:tcW w:w="1334" w:type="pc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采购内容</w:t>
            </w:r>
          </w:p>
        </w:tc>
        <w:tc>
          <w:tcPr>
            <w:tcW w:w="449" w:type="pc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采购预算（万元）</w:t>
            </w:r>
          </w:p>
        </w:tc>
        <w:tc>
          <w:tcPr>
            <w:tcW w:w="272" w:type="pc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报价方式</w:t>
            </w:r>
          </w:p>
        </w:tc>
        <w:tc>
          <w:tcPr>
            <w:tcW w:w="1218" w:type="pc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专用资质、业绩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0" w:type="pct"/>
            <w:vMerge w:val="restar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YZ-J-</w:t>
            </w:r>
            <w:r>
              <w:rPr>
                <w:rFonts w:hint="eastAsia" w:ascii="宋体" w:hAnsi="宋体" w:cs="宋体"/>
                <w:color w:val="auto"/>
                <w:sz w:val="24"/>
                <w:szCs w:val="24"/>
                <w:lang w:val="en-US" w:eastAsia="zh-CN"/>
              </w:rPr>
              <w:t>202310181</w:t>
            </w:r>
          </w:p>
        </w:tc>
        <w:tc>
          <w:tcPr>
            <w:tcW w:w="366" w:type="pct"/>
            <w:vMerge w:val="restar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技术</w:t>
            </w:r>
            <w:r>
              <w:rPr>
                <w:rFonts w:hint="eastAsia" w:ascii="宋体" w:hAnsi="宋体" w:eastAsia="宋体" w:cs="宋体"/>
                <w:color w:val="auto"/>
                <w:sz w:val="24"/>
                <w:szCs w:val="24"/>
                <w:lang w:val="en-US" w:eastAsia="zh-CN"/>
              </w:rPr>
              <w:t>服务</w:t>
            </w:r>
          </w:p>
        </w:tc>
        <w:tc>
          <w:tcPr>
            <w:tcW w:w="211" w:type="pc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14" w:type="pc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星光变等十三座变电站交直流一体化电源改造低压直流电源辅助技术服务</w:t>
            </w:r>
          </w:p>
        </w:tc>
        <w:tc>
          <w:tcPr>
            <w:tcW w:w="1334" w:type="pc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对服务清单中涉及的变电站交直流电源改造提供技术支持服务</w:t>
            </w:r>
            <w:r>
              <w:rPr>
                <w:rFonts w:hint="eastAsia" w:ascii="宋体" w:hAnsi="宋体" w:cs="宋体"/>
                <w:color w:val="auto"/>
                <w:sz w:val="24"/>
                <w:szCs w:val="24"/>
                <w:lang w:val="en-US" w:eastAsia="zh-CN"/>
              </w:rPr>
              <w:t>。</w:t>
            </w:r>
          </w:p>
        </w:tc>
        <w:tc>
          <w:tcPr>
            <w:tcW w:w="449" w:type="pct"/>
            <w:vMerge w:val="restar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以实际发生额为准</w:t>
            </w:r>
          </w:p>
        </w:tc>
        <w:tc>
          <w:tcPr>
            <w:tcW w:w="272" w:type="pct"/>
            <w:vMerge w:val="restar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总价报价</w:t>
            </w:r>
          </w:p>
        </w:tc>
        <w:tc>
          <w:tcPr>
            <w:tcW w:w="1218" w:type="pc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1.具有有效的</w:t>
            </w:r>
            <w:r>
              <w:rPr>
                <w:rFonts w:hint="eastAsia" w:ascii="宋体" w:hAnsi="宋体" w:eastAsia="宋体" w:cs="宋体"/>
                <w:color w:val="auto"/>
                <w:sz w:val="24"/>
                <w:szCs w:val="24"/>
                <w:lang w:val="en-US" w:eastAsia="zh-CN"/>
              </w:rPr>
              <w:t>安全生产许可证</w:t>
            </w:r>
            <w:r>
              <w:rPr>
                <w:rFonts w:hint="eastAsia" w:ascii="宋体" w:hAnsi="宋体" w:cs="宋体"/>
                <w:color w:val="auto"/>
                <w:sz w:val="24"/>
                <w:szCs w:val="24"/>
                <w:lang w:val="en-US" w:eastAsia="zh-CN"/>
              </w:rPr>
              <w:t>；</w:t>
            </w: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2.具备承装（修、试）电力设施许可证伍级及以上资质；</w:t>
            </w: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有相关技术服务经验</w:t>
            </w:r>
            <w:r>
              <w:rPr>
                <w:rFonts w:hint="eastAsia" w:ascii="宋体" w:hAnsi="宋体" w:cs="宋体"/>
                <w:color w:val="auto"/>
                <w:sz w:val="24"/>
                <w:szCs w:val="24"/>
                <w:lang w:val="en-US" w:eastAsia="zh-CN"/>
              </w:rPr>
              <w:t>，近三年任意一年类似项目业绩；</w:t>
            </w: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4.根据企业要求，可出具6%税率的增值税专用发票。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0" w:type="pct"/>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p>
        </w:tc>
        <w:tc>
          <w:tcPr>
            <w:tcW w:w="366" w:type="pct"/>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cs="宋体"/>
                <w:color w:val="auto"/>
                <w:sz w:val="24"/>
                <w:szCs w:val="24"/>
                <w:lang w:val="en-US" w:eastAsia="zh-CN"/>
              </w:rPr>
            </w:pPr>
          </w:p>
        </w:tc>
        <w:tc>
          <w:tcPr>
            <w:tcW w:w="211" w:type="pc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714" w:type="pc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勋城变-金江变110kV电力线路建设工程(架空安装部分)植被绿化恢复服务</w:t>
            </w:r>
          </w:p>
        </w:tc>
        <w:tc>
          <w:tcPr>
            <w:tcW w:w="1334" w:type="pc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勋城变-金江变110kV电力线路建设工程(架空安装部分)完成1.4804公顷植被绿化恢复服务，并经施工单位及项目建设单位验收合格</w:t>
            </w:r>
          </w:p>
        </w:tc>
        <w:tc>
          <w:tcPr>
            <w:tcW w:w="449" w:type="pct"/>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24"/>
                <w:szCs w:val="24"/>
                <w:lang w:val="en-US" w:eastAsia="zh-CN"/>
              </w:rPr>
            </w:pPr>
          </w:p>
        </w:tc>
        <w:tc>
          <w:tcPr>
            <w:tcW w:w="272" w:type="pct"/>
            <w:vMerge w:val="continue"/>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cs="宋体"/>
                <w:color w:val="auto"/>
                <w:sz w:val="24"/>
                <w:szCs w:val="24"/>
                <w:lang w:val="en-US" w:eastAsia="zh-CN"/>
              </w:rPr>
            </w:pPr>
          </w:p>
        </w:tc>
        <w:tc>
          <w:tcPr>
            <w:tcW w:w="1218" w:type="pct"/>
            <w:noWrap w:val="0"/>
            <w:vAlign w:val="center"/>
          </w:tcPr>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1.供应商为一般纳税人。</w:t>
            </w: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2.从事过相同类型工作，需提供1份相同工作业绩。</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21A569A3"/>
    <w:rsid w:val="21A56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3">
    <w:name w:val="footer"/>
    <w:basedOn w:val="1"/>
    <w:next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文本首行缩进 21"/>
    <w:basedOn w:val="9"/>
    <w:qFormat/>
    <w:uiPriority w:val="0"/>
    <w:pPr>
      <w:ind w:firstLine="420" w:firstLineChars="200"/>
    </w:pPr>
  </w:style>
  <w:style w:type="paragraph" w:customStyle="1" w:styleId="9">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2023-10-20T10:04:00Z</dcterms:created>
  <dc:creator>Administrator</dc:creator>
  <cp:lastModifiedBy>Administrator</cp:lastModifiedBy>
  <dcterms:modified xsi:type="dcterms:W3CDTF">2023-10-20T10:04:24Z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B06EBCC8E92E466997F972706023F139_11</vt:lpwstr>
  </property>
</Properties>
</file>