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eastAsia" w:ascii="宋体" w:hAnsi="宋体" w:eastAsia="宋体" w:cs="宋体"/>
          <w:color w:val="auto"/>
          <w:vertAlign w:val="baseline"/>
          <w:lang w:val="en-US" w:eastAsia="zh-CN"/>
        </w:rPr>
      </w:pPr>
      <w:r>
        <w:rPr>
          <w:rFonts w:hint="eastAsia" w:ascii="宋体" w:hAnsi="宋体" w:eastAsia="宋体" w:cs="宋体"/>
          <w:b/>
          <w:bCs/>
          <w:color w:val="auto"/>
          <w:sz w:val="24"/>
          <w:highlight w:val="none"/>
          <w:lang w:val="en-US" w:eastAsia="zh-CN"/>
        </w:rPr>
        <w:t xml:space="preserve">附件1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081"/>
        <w:gridCol w:w="813"/>
        <w:gridCol w:w="2378"/>
        <w:gridCol w:w="1241"/>
        <w:gridCol w:w="577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项目编号</w:t>
            </w:r>
          </w:p>
        </w:tc>
        <w:tc>
          <w:tcPr>
            <w:tcW w:w="3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val="en-US" w:eastAsia="zh-CN"/>
              </w:rPr>
              <w:t>标名称</w:t>
            </w:r>
          </w:p>
        </w:tc>
        <w:tc>
          <w:tcPr>
            <w:tcW w:w="2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包号</w:t>
            </w:r>
          </w:p>
        </w:tc>
        <w:tc>
          <w:tcPr>
            <w:tcW w:w="83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包名称</w:t>
            </w:r>
          </w:p>
        </w:tc>
        <w:tc>
          <w:tcPr>
            <w:tcW w:w="4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入围供应商数量</w:t>
            </w:r>
          </w:p>
        </w:tc>
        <w:tc>
          <w:tcPr>
            <w:tcW w:w="20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val="en-US" w:eastAsia="zh-CN"/>
              </w:rPr>
              <w:t>专用资质</w:t>
            </w:r>
          </w:p>
        </w:tc>
        <w:tc>
          <w:tcPr>
            <w:tcW w:w="5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YZ-G-202311202</w:t>
            </w:r>
          </w:p>
        </w:tc>
        <w:tc>
          <w:tcPr>
            <w:tcW w:w="381"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施工框架</w:t>
            </w: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220千伏输电线路（组塔放线）劳务分包框架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1.具有电力工程施工总承包贰级及以上资质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2.《承装（修、试）电力设施许可证》许可范围至少包含承装贰级及以上、承修贰级及以上资质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3.具有施工劳务企业资质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4.有效的安全生产许可证</w:t>
            </w:r>
          </w:p>
        </w:tc>
        <w:tc>
          <w:tcPr>
            <w:tcW w:w="538"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2024年1月1日至2024年12月31日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35千伏-110千伏输电线路（组塔放线）劳务分包框架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1.具有电力工程施工总承包叁级及以上资质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2.《承装（修、试）电力设施许可证》许可范围至少包含承装叁级及以上、承修叁级及以上资质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3.施工劳务企业资质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输电线路基础（含电缆沟等线路土建作业）专业分包框架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1.具有地基基础工程专业承包叁级及以上资质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变电土建专业分包框架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1.具有建筑工程施工总承包叁级及以上资质或地基基础工程专业承包叁级及以上资质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变电土建劳务分包框架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1.具有建筑工程施工总承包叁级及以上资质或地基基础工程专业承包叁级及以上资质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2.具有施工劳务企业资质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变电电气安装劳务分包框架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1.具有电力工程施工总承包叁级及以上资质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2.《承装（修、试）电力设施许可证》许可范围至少包含承装叁级及以上、承修叁级及以上资质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3.具有施工劳务企业资质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配网土建（包含配电线路高强度杆基础、配电箱基础、电缆沟等）专业分包框架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1.具有地基基础工程专业承包叁级及以上资质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10千伏及以下配电线路劳务分包框架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1.具有电力工程施工总承包叁级及以上资质或建筑机电安装工程专业承包叁级及以上资质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2.具有《承装（修、试）电力设施许可证》许可范围至少包含承装伍级及以上、承修伍级及以上资质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3.施工劳务企业资质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7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38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c>
          <w:tcPr>
            <w:tcW w:w="286" w:type="pct"/>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41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顶管施工专业分包框架</w:t>
            </w:r>
          </w:p>
        </w:tc>
        <w:tc>
          <w:tcPr>
            <w:tcW w:w="126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6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1.具有建筑工程施工总承包叁级及以上资质或市政公用工程施工总承包叁级及以上资质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2.有效的安全生产许可证</w:t>
            </w:r>
          </w:p>
        </w:tc>
        <w:tc>
          <w:tcPr>
            <w:tcW w:w="538"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vertAlign w:val="baseline"/>
                <w:lang w:val="en-US" w:eastAsia="zh-CN"/>
              </w:rPr>
            </w:pPr>
          </w:p>
        </w:tc>
      </w:tr>
    </w:tbl>
    <w:p>
      <w:pPr>
        <w:rPr>
          <w:color w:val="auto"/>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782F3458"/>
    <w:rsid w:val="782F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overflowPunct w:val="0"/>
      <w:autoSpaceDE w:val="0"/>
      <w:autoSpaceDN w:val="0"/>
      <w:adjustRightInd w:val="0"/>
      <w:ind w:firstLine="420"/>
      <w:jc w:val="left"/>
      <w:textAlignment w:val="baseline"/>
    </w:pPr>
    <w:rPr>
      <w:rFonts w:ascii="Times New Roman" w:hAnsi="Times New Roman" w:eastAsia="宋体"/>
      <w:kern w:val="0"/>
      <w:sz w:val="20"/>
      <w:szCs w:val="20"/>
      <w:lang w:val="en-GB"/>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本首行缩进 21"/>
    <w:basedOn w:val="8"/>
    <w:qFormat/>
    <w:uiPriority w:val="0"/>
    <w:pPr>
      <w:ind w:firstLine="420" w:firstLineChars="200"/>
    </w:pPr>
  </w:style>
  <w:style w:type="paragraph" w:customStyle="1" w:styleId="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2023-11-27T13:03:00Z</dcterms:created>
  <dc:creator>ℳ</dc:creator>
  <cp:lastModifiedBy>ℳ</cp:lastModifiedBy>
  <dcterms:modified xsi:type="dcterms:W3CDTF">2023-11-27T13:04:22Z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02BAE9B66EA84776AD9E8FACC05D227C_11</vt:lpwstr>
  </property>
</Properties>
</file>