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10"/>
        <w:tblpPr w:leftFromText="180" w:rightFromText="180" w:vertAnchor="text" w:horzAnchor="page" w:tblpX="1138" w:tblpY="335"/>
        <w:tblOverlap w:val="never"/>
        <w:tblW w:w="52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039"/>
        <w:gridCol w:w="735"/>
        <w:gridCol w:w="2312"/>
        <w:gridCol w:w="2094"/>
        <w:gridCol w:w="1274"/>
        <w:gridCol w:w="1304"/>
        <w:gridCol w:w="1372"/>
        <w:gridCol w:w="1445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83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48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包名称</w:t>
            </w:r>
          </w:p>
        </w:tc>
        <w:tc>
          <w:tcPr>
            <w:tcW w:w="707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采购内容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报价方式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专用资质条件</w:t>
            </w:r>
          </w:p>
        </w:tc>
        <w:tc>
          <w:tcPr>
            <w:tcW w:w="488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入围供应商数量</w:t>
            </w:r>
          </w:p>
        </w:tc>
        <w:tc>
          <w:tcPr>
            <w:tcW w:w="705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服务周期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383" w:type="pct"/>
            <w:vMerge w:val="restart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YZ-J-202312218</w:t>
            </w:r>
          </w:p>
        </w:tc>
        <w:tc>
          <w:tcPr>
            <w:tcW w:w="350" w:type="pct"/>
            <w:vMerge w:val="restart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248" w:type="pct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北辰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公司202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年办公用品（含耗材）框架采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购</w:t>
            </w:r>
          </w:p>
        </w:tc>
        <w:tc>
          <w:tcPr>
            <w:tcW w:w="707" w:type="pct"/>
            <w:noWrap w:val="0"/>
            <w:vAlign w:val="center"/>
          </w:tcPr>
          <w:p>
            <w:pPr>
              <w:widowControl/>
              <w:spacing w:before="240" w:beforeLines="100" w:after="120" w:afterLines="5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2024年办公用品（含耗材）</w:t>
            </w:r>
          </w:p>
        </w:tc>
        <w:tc>
          <w:tcPr>
            <w:tcW w:w="430" w:type="pct"/>
            <w:vMerge w:val="restart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lang w:eastAsia="zh-CN"/>
              </w:rPr>
              <w:t>以实际发生额为准</w:t>
            </w:r>
          </w:p>
        </w:tc>
        <w:tc>
          <w:tcPr>
            <w:tcW w:w="440" w:type="pct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折扣比例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463" w:type="pct"/>
            <w:vMerge w:val="restart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能够开具增值税专用发票</w:t>
            </w:r>
          </w:p>
        </w:tc>
        <w:tc>
          <w:tcPr>
            <w:tcW w:w="488" w:type="pct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5" w:type="pct"/>
            <w:vMerge w:val="restart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自合同签订之日起至2024年12月31日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383" w:type="pct"/>
            <w:vMerge w:val="continue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0" w:type="pct"/>
            <w:vMerge w:val="continue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8" w:type="pct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北辰公司202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年固定资产（含低值易耗品）框架采购</w:t>
            </w:r>
          </w:p>
        </w:tc>
        <w:tc>
          <w:tcPr>
            <w:tcW w:w="707" w:type="pct"/>
            <w:noWrap w:val="0"/>
            <w:vAlign w:val="center"/>
          </w:tcPr>
          <w:p>
            <w:pPr>
              <w:widowControl/>
              <w:spacing w:before="240" w:beforeLines="100" w:after="120" w:afterLines="5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2024年固定资产（含低值易耗品）</w:t>
            </w:r>
            <w:bookmarkEnd w:id="0"/>
          </w:p>
        </w:tc>
        <w:tc>
          <w:tcPr>
            <w:tcW w:w="430" w:type="pct"/>
            <w:vMerge w:val="continue"/>
            <w:noWrap w:val="0"/>
            <w:vAlign w:val="center"/>
          </w:tcPr>
          <w:p>
            <w:pPr>
              <w:widowControl/>
              <w:spacing w:before="240" w:beforeLines="100" w:after="120" w:afterLines="5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" w:type="pct"/>
            <w:vMerge w:val="continue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88" w:type="pct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5" w:type="pct"/>
            <w:vMerge w:val="continue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0127145B"/>
    <w:rsid w:val="0127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首行缩进 21"/>
    <w:basedOn w:val="13"/>
    <w:qFormat/>
    <w:uiPriority w:val="0"/>
    <w:pPr>
      <w:ind w:firstLine="420" w:firstLineChars="200"/>
    </w:pPr>
  </w:style>
  <w:style w:type="paragraph" w:customStyle="1" w:styleId="13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2023-12-21T13:10:00Z</dcterms:created>
  <dc:creator>ℳ</dc:creator>
  <cp:lastModifiedBy>ℳ</cp:lastModifiedBy>
  <dcterms:modified xsi:type="dcterms:W3CDTF">2023-12-21T13:16:52Z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12ED67A2F588498CA3FAC7E11EBBF785_11</vt:lpwstr>
  </property>
</Properties>
</file>